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C847F0" w:rsidRDefault="00130D22" w:rsidP="00130D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847F0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 w:rsidRPr="00C847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EAGLE-TOGO</w:t>
      </w:r>
    </w:p>
    <w:p w:rsidR="000607D3" w:rsidRPr="00C847F0" w:rsidRDefault="000607D3" w:rsidP="000607D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C847F0" w:rsidRDefault="00130D22" w:rsidP="000607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47F0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C847F0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C847F0" w:rsidRDefault="009951E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262890</wp:posOffset>
                </wp:positionV>
                <wp:extent cx="6906895" cy="2668905"/>
                <wp:effectExtent l="0" t="0" r="27305" b="1714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6689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27C" w:rsidRPr="0062415B" w:rsidRDefault="0042027C" w:rsidP="0065313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Intensification des investigations et suivi administratif et juridique des dossiers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44.9pt;margin-top:20.7pt;width:543.8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    <v:stroke joinstyle="miter"/>
                <v:path arrowok="t"/>
                <v:textbox>
                  <w:txbxContent>
                    <w:p w:rsidR="0042027C" w:rsidRPr="0062415B" w:rsidRDefault="0042027C" w:rsidP="0065313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Intensification des investigations et suivi administratif et juridique des dossiers en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C847F0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C00000"/>
              <w:lang w:val="en-US"/>
            </w:rPr>
          </w:pPr>
          <w:r w:rsidRPr="00C847F0">
            <w:rPr>
              <w:rFonts w:ascii="Times New Roman" w:hAnsi="Times New Roman" w:cs="Times New Roman"/>
              <w:color w:val="C00000"/>
              <w:lang w:val="en-US"/>
            </w:rPr>
            <w:t>Sommaire</w:t>
          </w:r>
        </w:p>
        <w:p w:rsidR="0042027C" w:rsidRDefault="008D4750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C847F0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489839177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Points Principaux</w:t>
            </w:r>
            <w:r w:rsidR="004202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78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1. Investigations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_Toc489839178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3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79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2. Opérations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_Toc489839179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4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0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3. Légal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_Toc489839180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4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1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4.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Média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_Toc489839181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5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2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5.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Management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_Toc489839182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9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3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6.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Relations extérieures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_Toc489839183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9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42027C" w:rsidRDefault="00F02FBA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89839184" w:history="1"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7.</w:t>
            </w:r>
            <w:r w:rsidR="0042027C">
              <w:rPr>
                <w:rFonts w:cstheme="minorBidi"/>
                <w:noProof/>
                <w:lang w:val="en-US" w:eastAsia="en-US"/>
              </w:rPr>
              <w:tab/>
            </w:r>
            <w:r w:rsidR="0042027C" w:rsidRPr="00FF0E4A">
              <w:rPr>
                <w:rStyle w:val="Lienhypertexte"/>
                <w:rFonts w:ascii="Times New Roman" w:hAnsi="Times New Roman"/>
                <w:noProof/>
                <w:lang w:bidi="he-IL"/>
              </w:rPr>
              <w:t>Conclusion</w:t>
            </w:r>
            <w:r w:rsidR="0042027C">
              <w:rPr>
                <w:noProof/>
                <w:webHidden/>
              </w:rPr>
              <w:tab/>
            </w:r>
            <w:r w:rsidR="008D4750">
              <w:rPr>
                <w:noProof/>
                <w:webHidden/>
              </w:rPr>
              <w:fldChar w:fldCharType="begin"/>
            </w:r>
            <w:r w:rsidR="0042027C">
              <w:rPr>
                <w:noProof/>
                <w:webHidden/>
              </w:rPr>
              <w:instrText xml:space="preserve"> PAGEREF _Toc489839184 \h </w:instrText>
            </w:r>
            <w:r w:rsidR="008D4750">
              <w:rPr>
                <w:noProof/>
                <w:webHidden/>
              </w:rPr>
            </w:r>
            <w:r w:rsidR="008D4750">
              <w:rPr>
                <w:noProof/>
                <w:webHidden/>
              </w:rPr>
              <w:fldChar w:fldCharType="separate"/>
            </w:r>
            <w:r w:rsidR="0042027C">
              <w:rPr>
                <w:noProof/>
                <w:webHidden/>
              </w:rPr>
              <w:t>10</w:t>
            </w:r>
            <w:r w:rsidR="008D4750">
              <w:rPr>
                <w:noProof/>
                <w:webHidden/>
              </w:rPr>
              <w:fldChar w:fldCharType="end"/>
            </w:r>
          </w:hyperlink>
        </w:p>
        <w:p w:rsidR="00BB3F2B" w:rsidRPr="00C847F0" w:rsidRDefault="008D4750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C847F0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sz w:val="32"/>
          <w:szCs w:val="32"/>
        </w:rPr>
      </w:pPr>
    </w:p>
    <w:p w:rsidR="004550ED" w:rsidRDefault="004550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489839177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EA7C47" w:rsidRPr="00C847F0" w:rsidRDefault="008E4961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Quarante une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41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quarante quatre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44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)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cibles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identifié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 ;</w:t>
      </w:r>
    </w:p>
    <w:p w:rsidR="0006580A" w:rsidRPr="00C847F0" w:rsidRDefault="0096748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Aucune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opération d’arrestation réalisée ;</w:t>
      </w:r>
    </w:p>
    <w:p w:rsidR="00700EE8" w:rsidRPr="00C847F0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B768C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C847F0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700EE8" w:rsidRPr="00C847F0" w:rsidRDefault="00700EE8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Recrutement 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et mise en test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</w:t>
      </w:r>
      <w:r w:rsidR="00E7677F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e </w:t>
      </w:r>
      <w:r w:rsidR="002E06B4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n</w:t>
      </w:r>
      <w:r w:rsidR="00E7677F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ouveaux</w:t>
      </w:r>
      <w:r w:rsidR="002E06B4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candidat</w:t>
      </w:r>
      <w:r w:rsidR="00E7677F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</w:t>
      </w:r>
    </w:p>
    <w:p w:rsidR="00A617D7" w:rsidRPr="00C847F0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D61CA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ac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teurs </w:t>
      </w:r>
      <w:r w:rsidR="00AC5ED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 charge de l</w:t>
      </w:r>
      <w:r w:rsidR="009674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’application de la loi.</w:t>
      </w: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89839178"/>
      <w:r w:rsidRPr="00C847F0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C847F0" w:rsidTr="00757590">
        <w:trPr>
          <w:trHeight w:val="511"/>
        </w:trPr>
        <w:tc>
          <w:tcPr>
            <w:tcW w:w="4505" w:type="dxa"/>
          </w:tcPr>
          <w:p w:rsidR="00BB3F2B" w:rsidRPr="00C847F0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C847F0" w:rsidRDefault="00003F0B" w:rsidP="00B5088F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41</w:t>
            </w:r>
          </w:p>
        </w:tc>
      </w:tr>
      <w:tr w:rsidR="00BB3F2B" w:rsidRPr="00C847F0" w:rsidTr="00757590">
        <w:trPr>
          <w:trHeight w:val="1049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C847F0" w:rsidRDefault="00773386" w:rsidP="00F86E88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86E88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757590">
        <w:trPr>
          <w:trHeight w:val="894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C847F0" w:rsidRDefault="00003F0B" w:rsidP="00415D6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44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57590" w:rsidRPr="00003F0B" w:rsidRDefault="00003F0B" w:rsidP="00F86E88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Quarante une</w:t>
      </w:r>
      <w:r w:rsidR="00F86E88"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5088F" w:rsidRPr="00003F0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(</w:t>
      </w:r>
      <w:r w:rsidRPr="00003F0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41</w:t>
      </w:r>
      <w:r w:rsidR="00B5088F" w:rsidRPr="00003F0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</w:t>
      </w:r>
      <w:r w:rsidR="00BB3F2B"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enquêtes ont ét</w:t>
      </w:r>
      <w:r w:rsidR="00D55316"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 réalisées au cours du mois d</w:t>
      </w:r>
      <w:r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’août</w:t>
      </w:r>
      <w:r w:rsidR="00D55316"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B3F2B"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dans les préfectures </w:t>
      </w:r>
      <w:r w:rsidRPr="00003F0B">
        <w:rPr>
          <w:rFonts w:ascii="Times New Roman" w:hAnsi="Times New Roman" w:cs="Times New Roman"/>
          <w:sz w:val="32"/>
          <w:szCs w:val="32"/>
        </w:rPr>
        <w:t>du Golfe, AgoéNyiévé , Zio, Tchaoudjo,  Kara, Cinkassé et Tandjouaré</w:t>
      </w:r>
      <w:r w:rsidR="00BB3F2B" w:rsidRP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C847F0" w:rsidRDefault="00D61CAD" w:rsidP="004011F9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Durant le mois </w:t>
      </w:r>
      <w:r w:rsid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d’août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2017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le département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Investigation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mené </w:t>
      </w:r>
      <w:r w:rsidR="00003F0B">
        <w:rPr>
          <w:color w:val="0D0D0D" w:themeColor="text1" w:themeTint="F2"/>
          <w:sz w:val="32"/>
          <w:szCs w:val="32"/>
        </w:rPr>
        <w:t>41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enquêtes et identifié </w:t>
      </w:r>
      <w:r w:rsid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44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dans les préfectures </w:t>
      </w:r>
      <w:r w:rsidR="00003F0B" w:rsidRPr="00003F0B">
        <w:rPr>
          <w:rFonts w:ascii="Times New Roman" w:hAnsi="Times New Roman" w:cs="Times New Roman"/>
          <w:sz w:val="32"/>
          <w:szCs w:val="32"/>
        </w:rPr>
        <w:t xml:space="preserve">du Golfe, </w:t>
      </w:r>
      <w:r w:rsidR="00003F0B" w:rsidRPr="00003F0B">
        <w:rPr>
          <w:rFonts w:ascii="Times New Roman" w:hAnsi="Times New Roman" w:cs="Times New Roman"/>
          <w:sz w:val="32"/>
          <w:szCs w:val="32"/>
        </w:rPr>
        <w:lastRenderedPageBreak/>
        <w:t xml:space="preserve">AgoéNyiévé , Zio, Tchaoudjo, </w:t>
      </w:r>
      <w:r w:rsidR="00003F0B">
        <w:rPr>
          <w:rFonts w:ascii="Times New Roman" w:hAnsi="Times New Roman" w:cs="Times New Roman"/>
          <w:sz w:val="32"/>
          <w:szCs w:val="32"/>
        </w:rPr>
        <w:t xml:space="preserve"> Kozah</w:t>
      </w:r>
      <w:r w:rsidR="00003F0B" w:rsidRPr="00003F0B">
        <w:rPr>
          <w:rFonts w:ascii="Times New Roman" w:hAnsi="Times New Roman" w:cs="Times New Roman"/>
          <w:sz w:val="32"/>
          <w:szCs w:val="32"/>
        </w:rPr>
        <w:t>, Cinkassé et Tandjouaré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Mais, aucune </w:t>
      </w:r>
      <w:r w:rsid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piste</w:t>
      </w:r>
      <w:r w:rsidR="00003F0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explorées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n’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conduit à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réalisation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6E8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opération.</w:t>
      </w:r>
    </w:p>
    <w:p w:rsidR="00BB3F2B" w:rsidRPr="00C847F0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4" w:name="_Toc489839179"/>
      <w:r w:rsidRPr="00C847F0">
        <w:rPr>
          <w:rFonts w:ascii="Times New Roman" w:hAnsi="Times New Roman"/>
          <w:color w:val="0D0D0D" w:themeColor="text1" w:themeTint="F2"/>
          <w:szCs w:val="32"/>
        </w:rPr>
        <w:t>2. Opérations</w:t>
      </w:r>
      <w:bookmarkEnd w:id="4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C847F0" w:rsidRDefault="0019166D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C847F0" w:rsidRDefault="00DB2A45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mois </w:t>
      </w:r>
      <w:r w:rsidR="003341A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d’Août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vierge.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Aucu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d’arrestation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n’</w:t>
      </w:r>
      <w:r w:rsidR="00B33B9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été effectuée.</w:t>
      </w:r>
    </w:p>
    <w:p w:rsidR="00BB3F2B" w:rsidRPr="00C847F0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5" w:name="_Toc489839180"/>
      <w:r w:rsidRPr="00C847F0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C847F0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C847F0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5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B3F2B" w:rsidRPr="00C847F0" w:rsidRDefault="00CA3B25" w:rsidP="00DB301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23AD3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23AD3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CA3B25" w:rsidRPr="00C847F0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C847F0" w:rsidRDefault="00F23AD3" w:rsidP="00F23AD3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En l’absence d’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mois-ci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AC5ED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département</w:t>
      </w:r>
      <w:r w:rsidR="00E654B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juridique</w:t>
      </w:r>
      <w:r w:rsidR="00AC5ED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effectué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taches suivantes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8B5670" w:rsidRPr="00C847F0" w:rsidRDefault="008B5670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</w:t>
      </w:r>
      <w:r w:rsidR="00E654B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rédaction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des 3 documents </w:t>
      </w:r>
      <w:r w:rsidR="00E654B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pour l’opération de Dapaong et de Kara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3D407C" w:rsidRPr="00E654BC" w:rsidRDefault="003D407C" w:rsidP="00E654BC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planification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</w:t>
      </w:r>
      <w:r w:rsidR="00F23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d’arrestation ;</w:t>
      </w:r>
    </w:p>
    <w:p w:rsidR="005121B2" w:rsidRPr="00C847F0" w:rsidRDefault="005121B2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juridique d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cas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devant les tribunaux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 </w:t>
      </w:r>
    </w:p>
    <w:p w:rsidR="00BB7CF0" w:rsidRDefault="005121B2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Mise à jour </w:t>
      </w:r>
      <w:r w:rsidR="003D407C"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la base des données juridique</w:t>
      </w:r>
      <w:r w:rsidR="00E654B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F07CB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C847F0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6" w:name="_Toc439161760"/>
      <w:bookmarkStart w:id="7" w:name="_Toc489839181"/>
      <w:r w:rsidRPr="00C847F0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6"/>
      <w:bookmarkEnd w:id="7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3F2B" w:rsidRPr="00C847F0" w:rsidTr="00DA1B86">
        <w:tc>
          <w:tcPr>
            <w:tcW w:w="9212" w:type="dxa"/>
            <w:gridSpan w:val="4"/>
          </w:tcPr>
          <w:p w:rsidR="00BB3F2B" w:rsidRPr="00C847F0" w:rsidRDefault="00BB3F2B" w:rsidP="00DA1B86">
            <w:pPr>
              <w:spacing w:after="200" w:line="276" w:lineRule="auto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Nombre de pièces médiatiques </w:t>
            </w:r>
            <w:r w:rsidR="00A12B47"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total : </w:t>
            </w:r>
            <w:r w:rsidR="00F07CB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02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télévision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Radio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internet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papier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F07CB2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  <w:tc>
          <w:tcPr>
            <w:tcW w:w="2303" w:type="dxa"/>
          </w:tcPr>
          <w:p w:rsidR="00BB3F2B" w:rsidRPr="00C847F0" w:rsidRDefault="00F07CB2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  <w:tc>
          <w:tcPr>
            <w:tcW w:w="2303" w:type="dxa"/>
          </w:tcPr>
          <w:p w:rsidR="00BB3F2B" w:rsidRPr="00C847F0" w:rsidRDefault="00F07CB2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01</w:t>
            </w:r>
          </w:p>
        </w:tc>
        <w:tc>
          <w:tcPr>
            <w:tcW w:w="2303" w:type="dxa"/>
          </w:tcPr>
          <w:p w:rsidR="00BB3F2B" w:rsidRPr="00C847F0" w:rsidRDefault="00F07CB2" w:rsidP="008C4F7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01</w:t>
            </w:r>
          </w:p>
        </w:tc>
      </w:tr>
    </w:tbl>
    <w:p w:rsidR="000D79AB" w:rsidRDefault="000D79AB" w:rsidP="00495E76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bookmarkStart w:id="8" w:name="_Toc439161761"/>
    </w:p>
    <w:p w:rsidR="00495E76" w:rsidRPr="001A5E2C" w:rsidRDefault="000D79AB" w:rsidP="001A5E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Courant </w:t>
      </w:r>
      <w:r w:rsidR="00F07CB2">
        <w:rPr>
          <w:rFonts w:ascii="Times New Roman" w:hAnsi="Times New Roman" w:cs="Times New Roman"/>
          <w:sz w:val="32"/>
          <w:szCs w:val="32"/>
        </w:rPr>
        <w:t>Août</w:t>
      </w:r>
      <w:r>
        <w:rPr>
          <w:rFonts w:ascii="Times New Roman" w:hAnsi="Times New Roman" w:cs="Times New Roman"/>
          <w:sz w:val="32"/>
          <w:szCs w:val="32"/>
        </w:rPr>
        <w:t xml:space="preserve"> 2017, </w:t>
      </w:r>
      <w:r w:rsidR="00F07CB2">
        <w:rPr>
          <w:rFonts w:ascii="Times New Roman" w:hAnsi="Times New Roman" w:cs="Times New Roman"/>
          <w:sz w:val="32"/>
          <w:szCs w:val="32"/>
        </w:rPr>
        <w:t>seulement deux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5E76" w:rsidRPr="00C847F0">
        <w:rPr>
          <w:rFonts w:ascii="Times New Roman" w:hAnsi="Times New Roman" w:cs="Times New Roman"/>
          <w:sz w:val="32"/>
          <w:szCs w:val="32"/>
        </w:rPr>
        <w:t>(</w:t>
      </w:r>
      <w:r w:rsidR="00F07CB2">
        <w:rPr>
          <w:rFonts w:ascii="Times New Roman" w:hAnsi="Times New Roman" w:cs="Times New Roman"/>
          <w:sz w:val="32"/>
          <w:szCs w:val="32"/>
        </w:rPr>
        <w:t>02</w:t>
      </w:r>
      <w:r w:rsidR="00495E76" w:rsidRPr="00C847F0">
        <w:rPr>
          <w:rFonts w:ascii="Times New Roman" w:hAnsi="Times New Roman" w:cs="Times New Roman"/>
          <w:sz w:val="32"/>
          <w:szCs w:val="32"/>
        </w:rPr>
        <w:t xml:space="preserve">) pièces médiatiques  relatives aux résultats du projet ont été produites  par les médias nationaux et internationaux. </w:t>
      </w:r>
      <w:r w:rsidR="001A5E2C" w:rsidRPr="001A5E2C">
        <w:rPr>
          <w:rFonts w:ascii="Times New Roman" w:hAnsi="Times New Roman" w:cs="Times New Roman"/>
          <w:sz w:val="32"/>
          <w:szCs w:val="32"/>
        </w:rPr>
        <w:t>Il s’agit du magasine</w:t>
      </w:r>
      <w:r w:rsidR="001A5E2C" w:rsidRPr="001A5E2C">
        <w:rPr>
          <w:color w:val="000000"/>
          <w:sz w:val="32"/>
          <w:szCs w:val="32"/>
        </w:rPr>
        <w:t xml:space="preserve"> </w:t>
      </w:r>
      <w:r w:rsidR="001A5E2C" w:rsidRPr="001A5E2C">
        <w:rPr>
          <w:rFonts w:ascii="Times New Roman" w:eastAsia="Times New Roman" w:hAnsi="Times New Roman" w:cs="Times New Roman"/>
          <w:color w:val="000000"/>
          <w:sz w:val="32"/>
          <w:szCs w:val="32"/>
        </w:rPr>
        <w:t>N°4 du 21/08/2017 de</w:t>
      </w:r>
      <w:r w:rsidR="001A5E2C" w:rsidRPr="001A5E2C">
        <w:rPr>
          <w:sz w:val="32"/>
          <w:szCs w:val="32"/>
        </w:rPr>
        <w:t xml:space="preserve"> </w:t>
      </w:r>
      <w:r w:rsidR="001A5E2C" w:rsidRPr="001A5E2C">
        <w:rPr>
          <w:rFonts w:ascii="Times New Roman" w:eastAsia="Times New Roman" w:hAnsi="Times New Roman" w:cs="Times New Roman"/>
          <w:color w:val="000000"/>
          <w:sz w:val="32"/>
          <w:szCs w:val="32"/>
        </w:rPr>
        <w:t>Cauris d'Afrique et et d’une pièce internet de Africa Full Success.</w:t>
      </w:r>
    </w:p>
    <w:p w:rsidR="000D79AB" w:rsidRPr="00F07CB2" w:rsidRDefault="00495E76" w:rsidP="00F07CB2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r w:rsidRPr="001A5E2C">
        <w:rPr>
          <w:rFonts w:ascii="Times New Roman" w:hAnsi="Times New Roman" w:cs="Times New Roman"/>
          <w:sz w:val="32"/>
          <w:szCs w:val="32"/>
        </w:rPr>
        <w:t>Ci-dessous les liens des pièces médiatiques</w:t>
      </w:r>
      <w:r w:rsidRPr="00C847F0">
        <w:rPr>
          <w:rFonts w:ascii="Times New Roman" w:hAnsi="Times New Roman" w:cs="Times New Roman"/>
          <w:sz w:val="32"/>
          <w:szCs w:val="32"/>
        </w:rPr>
        <w:t> :</w:t>
      </w:r>
    </w:p>
    <w:p w:rsidR="000D79AB" w:rsidRPr="0079662F" w:rsidRDefault="000D79AB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B2" w:rsidRPr="00F07CB2" w:rsidRDefault="00F02FBA" w:rsidP="00F07CB2">
      <w:pPr>
        <w:pStyle w:val="Paragraphedeliste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9" w:history="1">
        <w:r w:rsidR="00F07CB2" w:rsidRPr="00F07CB2">
          <w:rPr>
            <w:rFonts w:ascii="Calibri" w:eastAsia="Times New Roman" w:hAnsi="Calibri" w:cs="Times New Roman"/>
            <w:color w:val="0000FF"/>
            <w:u w:val="single"/>
          </w:rPr>
          <w:t>https://www.dropbox.com/s/dnwhsk66ndis8hh/cauris%20d%27Afrique.jpg?dl=0</w:t>
        </w:r>
      </w:hyperlink>
    </w:p>
    <w:p w:rsidR="00F07CB2" w:rsidRPr="00F07CB2" w:rsidRDefault="00F02FBA" w:rsidP="00F07CB2">
      <w:pPr>
        <w:pStyle w:val="Paragraphedeliste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hyperlink r:id="rId10" w:history="1">
        <w:r w:rsidR="00F07CB2" w:rsidRPr="00F07CB2">
          <w:rPr>
            <w:rFonts w:ascii="Calibri" w:eastAsia="Times New Roman" w:hAnsi="Calibri" w:cs="Times New Roman"/>
            <w:color w:val="0000FF"/>
            <w:u w:val="single"/>
          </w:rPr>
          <w:t>http://www.africafullsuccess.com/2017/06/togo-deux-individus-arretes-en-possession-de-4-pointes-divoire-et-6-peaux-despeces-protegees/</w:t>
        </w:r>
      </w:hyperlink>
    </w:p>
    <w:p w:rsidR="000D79AB" w:rsidRPr="0079662F" w:rsidRDefault="000D79AB" w:rsidP="000D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89839182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Management</w:t>
      </w:r>
      <w:bookmarkEnd w:id="8"/>
      <w:bookmarkEnd w:id="9"/>
    </w:p>
    <w:p w:rsidR="00BB3F2B" w:rsidRPr="00C847F0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54ACB" w:rsidRPr="00C847F0" w:rsidTr="00DA1B86">
        <w:tc>
          <w:tcPr>
            <w:tcW w:w="4606" w:type="dxa"/>
          </w:tcPr>
          <w:p w:rsidR="00954ACB" w:rsidRPr="00C847F0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C847F0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C847F0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C6EB1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8D3D5D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C6EB1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C847F0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C847F0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C847F0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C847F0">
        <w:rPr>
          <w:rFonts w:ascii="Times New Roman" w:hAnsi="Times New Roman" w:cs="Times New Roman"/>
          <w:sz w:val="32"/>
          <w:szCs w:val="32"/>
        </w:rPr>
        <w:t>les activités de tous les départements</w:t>
      </w:r>
      <w:r w:rsidR="008D3D5D">
        <w:rPr>
          <w:rFonts w:ascii="Times New Roman" w:hAnsi="Times New Roman" w:cs="Times New Roman"/>
          <w:sz w:val="32"/>
          <w:szCs w:val="32"/>
        </w:rPr>
        <w:t xml:space="preserve">. Il a recruté </w:t>
      </w:r>
      <w:r w:rsidRPr="00C847F0">
        <w:rPr>
          <w:rFonts w:ascii="Times New Roman" w:hAnsi="Times New Roman" w:cs="Times New Roman"/>
          <w:sz w:val="32"/>
          <w:szCs w:val="32"/>
        </w:rPr>
        <w:t xml:space="preserve">et </w:t>
      </w:r>
      <w:r w:rsidR="008D3D5D">
        <w:rPr>
          <w:rFonts w:ascii="Times New Roman" w:hAnsi="Times New Roman" w:cs="Times New Roman"/>
          <w:sz w:val="32"/>
          <w:szCs w:val="32"/>
        </w:rPr>
        <w:t>mis  en test deux</w:t>
      </w:r>
      <w:r w:rsidR="009A031E">
        <w:rPr>
          <w:rFonts w:ascii="Times New Roman" w:hAnsi="Times New Roman" w:cs="Times New Roman"/>
          <w:sz w:val="32"/>
          <w:szCs w:val="32"/>
        </w:rPr>
        <w:t xml:space="preserve"> candidat</w:t>
      </w:r>
      <w:r w:rsidR="008D3D5D">
        <w:rPr>
          <w:rFonts w:ascii="Times New Roman" w:hAnsi="Times New Roman" w:cs="Times New Roman"/>
          <w:sz w:val="32"/>
          <w:szCs w:val="32"/>
        </w:rPr>
        <w:t xml:space="preserve">s </w:t>
      </w:r>
      <w:r w:rsidR="00DC6EB1">
        <w:rPr>
          <w:rFonts w:ascii="Times New Roman" w:hAnsi="Times New Roman" w:cs="Times New Roman"/>
          <w:sz w:val="32"/>
          <w:szCs w:val="32"/>
        </w:rPr>
        <w:t>dont un enquêteur et un juriste</w:t>
      </w:r>
      <w:r w:rsidRPr="00C847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F38" w:rsidRPr="00C847F0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également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d’enregistrement au Ministère de l’Administration Territoriale, </w:t>
      </w:r>
      <w:r w:rsidR="00CC56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loi.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0" w:name="_Toc439161762"/>
      <w:bookmarkStart w:id="11" w:name="_Toc489839183"/>
      <w:r w:rsidRPr="00C847F0"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10"/>
      <w:bookmarkEnd w:id="11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980"/>
        <w:gridCol w:w="2340"/>
      </w:tblGrid>
      <w:tr w:rsidR="00BB3F2B" w:rsidRPr="00C847F0" w:rsidTr="00C27D03">
        <w:tc>
          <w:tcPr>
            <w:tcW w:w="4968" w:type="dxa"/>
            <w:gridSpan w:val="2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320" w:type="dxa"/>
            <w:gridSpan w:val="2"/>
          </w:tcPr>
          <w:p w:rsidR="00BB3F2B" w:rsidRPr="00C847F0" w:rsidRDefault="00656257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62C1C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</w:tr>
      <w:tr w:rsidR="00BB3F2B" w:rsidRPr="00C847F0" w:rsidTr="00C27D03">
        <w:tc>
          <w:tcPr>
            <w:tcW w:w="2988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Prise de contact pour 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>demande de collaboration/soutien</w:t>
            </w:r>
          </w:p>
        </w:tc>
        <w:tc>
          <w:tcPr>
            <w:tcW w:w="1980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 xml:space="preserve">Suivi 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>d’accord de collaboration</w:t>
            </w:r>
          </w:p>
        </w:tc>
        <w:tc>
          <w:tcPr>
            <w:tcW w:w="1980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 xml:space="preserve">Ratification 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 xml:space="preserve">de collaboration </w:t>
            </w:r>
          </w:p>
        </w:tc>
        <w:tc>
          <w:tcPr>
            <w:tcW w:w="2340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 xml:space="preserve">Collaboration 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>sur affaires/formations en cours</w:t>
            </w:r>
          </w:p>
        </w:tc>
      </w:tr>
      <w:tr w:rsidR="00BB3F2B" w:rsidRPr="00C847F0" w:rsidTr="00C27D03">
        <w:tc>
          <w:tcPr>
            <w:tcW w:w="2988" w:type="dxa"/>
          </w:tcPr>
          <w:p w:rsidR="00BB3F2B" w:rsidRPr="00C847F0" w:rsidRDefault="00262C1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>00</w:t>
            </w:r>
          </w:p>
        </w:tc>
        <w:tc>
          <w:tcPr>
            <w:tcW w:w="1980" w:type="dxa"/>
          </w:tcPr>
          <w:p w:rsidR="00BB3F2B" w:rsidRPr="00C847F0" w:rsidRDefault="0065625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  <w:tc>
          <w:tcPr>
            <w:tcW w:w="1980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40" w:type="dxa"/>
          </w:tcPr>
          <w:p w:rsidR="00BB3F2B" w:rsidRPr="00C847F0" w:rsidRDefault="00262C1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</w:tbl>
    <w:p w:rsidR="00BB3F2B" w:rsidRPr="00C847F0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C847F0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Pr="00C847F0" w:rsidRDefault="006C419E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 juristes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du ministère</w:t>
      </w:r>
      <w:r w:rsidR="005D52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 l’environnement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des ressources forestières </w:t>
      </w:r>
      <w:r w:rsidR="00125B2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pour l’accélération du dossier d’accord de collaboration entre le MERF et EAGLE-Togo 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 ;</w:t>
      </w:r>
    </w:p>
    <w:p w:rsidR="00D2301E" w:rsidRDefault="006C419E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 agent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INTERPOL Lomé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2" w:name="_Toc439161763"/>
      <w:bookmarkStart w:id="13" w:name="_Toc489839184"/>
      <w:r w:rsidRPr="00C847F0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2"/>
      <w:bookmarkEnd w:id="13"/>
    </w:p>
    <w:p w:rsidR="00694862" w:rsidRPr="00C847F0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mois d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’aoû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t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pauvre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évènement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fait des manifestations politiques dans tout le pays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forces de l’ordre et de sécurité étant pris par les opérations de maintien de l’ordre, le projet n’a pu effectuer aucune opération d’arrestation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Toutefois, l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 département investigations a effectué 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41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quêtes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identifié 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44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trafiquants.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694862" w:rsidRPr="00C847F0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’équipe juridique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effectué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cas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cours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devant le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C1B7D" w:rsidRPr="00C847F0" w:rsidRDefault="0069486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tout de même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planifié les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mis en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test 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025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nouveaux </w:t>
      </w:r>
      <w:r w:rsidR="006562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candidats. Il a également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 dossier d’enregistrement de EAGLE-Togo et celui relatif à l’accord de collaboration avec le MERF.</w:t>
      </w:r>
    </w:p>
    <w:sectPr w:rsidR="007C1B7D" w:rsidRPr="00C847F0" w:rsidSect="00496F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BA" w:rsidRDefault="00F02FBA" w:rsidP="00130D22">
      <w:pPr>
        <w:spacing w:after="0" w:line="240" w:lineRule="auto"/>
      </w:pPr>
      <w:r>
        <w:separator/>
      </w:r>
    </w:p>
  </w:endnote>
  <w:endnote w:type="continuationSeparator" w:id="0">
    <w:p w:rsidR="00F02FBA" w:rsidRDefault="00F02FBA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7C" w:rsidRDefault="00F02FBA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51E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2027C" w:rsidRPr="000607D3" w:rsidRDefault="0042027C" w:rsidP="00BA1F6E">
    <w:pPr>
      <w:pStyle w:val="Pieddepage"/>
      <w:rPr>
        <w:lang w:val="en-US"/>
      </w:rPr>
    </w:pPr>
    <w:r w:rsidRPr="00A510DE">
      <w:rPr>
        <w:b/>
        <w:lang w:val="en-US"/>
      </w:rPr>
      <w:t>URL:</w:t>
    </w:r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B5088F">
      <w:rPr>
        <w:lang w:val="en-US"/>
      </w:rPr>
      <w:tab/>
    </w:r>
    <w:r w:rsidRPr="00B5088F">
      <w:rPr>
        <w:lang w:val="en-US"/>
      </w:rPr>
      <w:tab/>
    </w:r>
    <w:r w:rsidRPr="00A510DE">
      <w:rPr>
        <w:b/>
        <w:lang w:val="en-US"/>
      </w:rPr>
      <w:t>Courriel:</w:t>
    </w:r>
    <w:r w:rsidRPr="000607D3">
      <w:rPr>
        <w:lang w:val="en-US"/>
      </w:rPr>
      <w:t xml:space="preserve"> </w:t>
    </w:r>
    <w:hyperlink r:id="rId2" w:history="1">
      <w:r w:rsidRPr="002B485B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BA" w:rsidRDefault="00F02FBA" w:rsidP="00130D22">
      <w:pPr>
        <w:spacing w:after="0" w:line="240" w:lineRule="auto"/>
      </w:pPr>
      <w:r>
        <w:separator/>
      </w:r>
    </w:p>
  </w:footnote>
  <w:footnote w:type="continuationSeparator" w:id="0">
    <w:p w:rsidR="00F02FBA" w:rsidRDefault="00F02FBA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5454"/>
      <w:gridCol w:w="1785"/>
    </w:tblGrid>
    <w:tr w:rsidR="0042027C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42027C" w:rsidRPr="0062415B" w:rsidRDefault="0042027C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42027C" w:rsidRPr="0062415B" w:rsidRDefault="002E06B4" w:rsidP="006346BD">
          <w:pPr>
            <w:pStyle w:val="En-tte"/>
            <w:jc w:val="right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Août</w:t>
          </w:r>
          <w:r w:rsidR="0042027C"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42027C" w:rsidRPr="0062415B" w:rsidRDefault="0042027C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42027C" w:rsidRPr="0062415B" w:rsidRDefault="0042027C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10A"/>
    <w:multiLevelType w:val="hybridMultilevel"/>
    <w:tmpl w:val="D7B6E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31C3A"/>
    <w:rsid w:val="00034263"/>
    <w:rsid w:val="00043D71"/>
    <w:rsid w:val="00054F57"/>
    <w:rsid w:val="000607D3"/>
    <w:rsid w:val="0006580A"/>
    <w:rsid w:val="000D79AB"/>
    <w:rsid w:val="000E3B58"/>
    <w:rsid w:val="000F5FF0"/>
    <w:rsid w:val="00101272"/>
    <w:rsid w:val="00101C5C"/>
    <w:rsid w:val="00117F38"/>
    <w:rsid w:val="00125B28"/>
    <w:rsid w:val="00130D22"/>
    <w:rsid w:val="0013672E"/>
    <w:rsid w:val="00140959"/>
    <w:rsid w:val="001429EC"/>
    <w:rsid w:val="001561E9"/>
    <w:rsid w:val="0019166D"/>
    <w:rsid w:val="001A5E2C"/>
    <w:rsid w:val="001B073B"/>
    <w:rsid w:val="001D15E3"/>
    <w:rsid w:val="001E5C9E"/>
    <w:rsid w:val="0020053D"/>
    <w:rsid w:val="00213790"/>
    <w:rsid w:val="002256AB"/>
    <w:rsid w:val="00241BB7"/>
    <w:rsid w:val="00262C1C"/>
    <w:rsid w:val="0026358A"/>
    <w:rsid w:val="00270E90"/>
    <w:rsid w:val="002D291F"/>
    <w:rsid w:val="002E06B4"/>
    <w:rsid w:val="0031564F"/>
    <w:rsid w:val="00323076"/>
    <w:rsid w:val="003341A2"/>
    <w:rsid w:val="00334FC4"/>
    <w:rsid w:val="003358A8"/>
    <w:rsid w:val="003742F5"/>
    <w:rsid w:val="003A0690"/>
    <w:rsid w:val="003A3393"/>
    <w:rsid w:val="003B632C"/>
    <w:rsid w:val="003D407C"/>
    <w:rsid w:val="003E03E7"/>
    <w:rsid w:val="004011F9"/>
    <w:rsid w:val="00415D6E"/>
    <w:rsid w:val="0042027C"/>
    <w:rsid w:val="00421E3E"/>
    <w:rsid w:val="004311B7"/>
    <w:rsid w:val="00441260"/>
    <w:rsid w:val="00442E7F"/>
    <w:rsid w:val="004550ED"/>
    <w:rsid w:val="0045514A"/>
    <w:rsid w:val="00470F51"/>
    <w:rsid w:val="00495E76"/>
    <w:rsid w:val="00496FA2"/>
    <w:rsid w:val="004B2033"/>
    <w:rsid w:val="004F75DA"/>
    <w:rsid w:val="00504414"/>
    <w:rsid w:val="005121B2"/>
    <w:rsid w:val="00557D0A"/>
    <w:rsid w:val="00560D94"/>
    <w:rsid w:val="00561F3E"/>
    <w:rsid w:val="0057162D"/>
    <w:rsid w:val="0057371C"/>
    <w:rsid w:val="005B3AEA"/>
    <w:rsid w:val="005D5216"/>
    <w:rsid w:val="0060627B"/>
    <w:rsid w:val="00606889"/>
    <w:rsid w:val="0062415B"/>
    <w:rsid w:val="00630755"/>
    <w:rsid w:val="006346BD"/>
    <w:rsid w:val="00653136"/>
    <w:rsid w:val="00656257"/>
    <w:rsid w:val="00656E38"/>
    <w:rsid w:val="00694862"/>
    <w:rsid w:val="006C419E"/>
    <w:rsid w:val="006F4368"/>
    <w:rsid w:val="00700EE8"/>
    <w:rsid w:val="00701AC6"/>
    <w:rsid w:val="007027C0"/>
    <w:rsid w:val="00732316"/>
    <w:rsid w:val="00746D02"/>
    <w:rsid w:val="00757590"/>
    <w:rsid w:val="00773386"/>
    <w:rsid w:val="00792F38"/>
    <w:rsid w:val="0079662F"/>
    <w:rsid w:val="007A0E18"/>
    <w:rsid w:val="007C1B7D"/>
    <w:rsid w:val="007E57B2"/>
    <w:rsid w:val="0080069C"/>
    <w:rsid w:val="00814942"/>
    <w:rsid w:val="00841160"/>
    <w:rsid w:val="0085319B"/>
    <w:rsid w:val="00856E4A"/>
    <w:rsid w:val="008A2260"/>
    <w:rsid w:val="008B5670"/>
    <w:rsid w:val="008B5680"/>
    <w:rsid w:val="008B7691"/>
    <w:rsid w:val="008C4F72"/>
    <w:rsid w:val="008D3D5D"/>
    <w:rsid w:val="008D4750"/>
    <w:rsid w:val="008E4961"/>
    <w:rsid w:val="008E5ED6"/>
    <w:rsid w:val="008E7CBB"/>
    <w:rsid w:val="00926298"/>
    <w:rsid w:val="00954ACB"/>
    <w:rsid w:val="0096748E"/>
    <w:rsid w:val="009951E2"/>
    <w:rsid w:val="009A031E"/>
    <w:rsid w:val="009B4010"/>
    <w:rsid w:val="009C192B"/>
    <w:rsid w:val="009D3C07"/>
    <w:rsid w:val="00A063CC"/>
    <w:rsid w:val="00A12B47"/>
    <w:rsid w:val="00A510DE"/>
    <w:rsid w:val="00A617D7"/>
    <w:rsid w:val="00A87D28"/>
    <w:rsid w:val="00AA1559"/>
    <w:rsid w:val="00AA218E"/>
    <w:rsid w:val="00AA306F"/>
    <w:rsid w:val="00AC5ED2"/>
    <w:rsid w:val="00AE6A09"/>
    <w:rsid w:val="00B33B93"/>
    <w:rsid w:val="00B5088F"/>
    <w:rsid w:val="00B73934"/>
    <w:rsid w:val="00B761EF"/>
    <w:rsid w:val="00B768CE"/>
    <w:rsid w:val="00B81C9B"/>
    <w:rsid w:val="00B858C2"/>
    <w:rsid w:val="00B8647F"/>
    <w:rsid w:val="00BA1F6E"/>
    <w:rsid w:val="00BA4D09"/>
    <w:rsid w:val="00BB3F2B"/>
    <w:rsid w:val="00BB4ED5"/>
    <w:rsid w:val="00BB7CF0"/>
    <w:rsid w:val="00C00D54"/>
    <w:rsid w:val="00C275A2"/>
    <w:rsid w:val="00C27D03"/>
    <w:rsid w:val="00C51CF2"/>
    <w:rsid w:val="00C55BF4"/>
    <w:rsid w:val="00C847F0"/>
    <w:rsid w:val="00C978EF"/>
    <w:rsid w:val="00CA3B25"/>
    <w:rsid w:val="00CB73A9"/>
    <w:rsid w:val="00CC568F"/>
    <w:rsid w:val="00CF78D7"/>
    <w:rsid w:val="00D13CFA"/>
    <w:rsid w:val="00D2301E"/>
    <w:rsid w:val="00D518B5"/>
    <w:rsid w:val="00D55316"/>
    <w:rsid w:val="00D61CAD"/>
    <w:rsid w:val="00D63B67"/>
    <w:rsid w:val="00D80FC6"/>
    <w:rsid w:val="00D84105"/>
    <w:rsid w:val="00DA1B86"/>
    <w:rsid w:val="00DB2A45"/>
    <w:rsid w:val="00DB3016"/>
    <w:rsid w:val="00DC6EB1"/>
    <w:rsid w:val="00DD0930"/>
    <w:rsid w:val="00E04D70"/>
    <w:rsid w:val="00E11AD6"/>
    <w:rsid w:val="00E654BC"/>
    <w:rsid w:val="00E720ED"/>
    <w:rsid w:val="00E7677F"/>
    <w:rsid w:val="00EA7C47"/>
    <w:rsid w:val="00EB4876"/>
    <w:rsid w:val="00ED44B6"/>
    <w:rsid w:val="00F02FBA"/>
    <w:rsid w:val="00F0380A"/>
    <w:rsid w:val="00F07CB2"/>
    <w:rsid w:val="00F23AD3"/>
    <w:rsid w:val="00F71168"/>
    <w:rsid w:val="00F76F35"/>
    <w:rsid w:val="00F80254"/>
    <w:rsid w:val="00F846C0"/>
    <w:rsid w:val="00F86E88"/>
    <w:rsid w:val="00FB42EB"/>
    <w:rsid w:val="00FB5A91"/>
    <w:rsid w:val="00FC6510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2660C-A83D-42F6-B754-D8AECB97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9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fricafullsuccess.com/2017/06/togo-deux-individus-arretes-en-possession-de-4-pointes-divoire-et-6-peaux-despeces-proteg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dnwhsk66ndis8hh/cauris%20d%27Afrique.jpg?dl=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E215-91B9-4CE3-8C34-3EB786C4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</vt:lpstr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EAGLE</cp:lastModifiedBy>
  <cp:revision>2</cp:revision>
  <dcterms:created xsi:type="dcterms:W3CDTF">2020-02-12T16:44:00Z</dcterms:created>
  <dcterms:modified xsi:type="dcterms:W3CDTF">2020-02-12T16:44:00Z</dcterms:modified>
</cp:coreProperties>
</file>